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7A8E1"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202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6</w:t>
      </w:r>
      <w:r>
        <w:rPr>
          <w:rFonts w:ascii="Times New Roman" w:hAnsi="Times New Roman" w:eastAsia="黑体" w:cs="Times New Roman"/>
          <w:sz w:val="36"/>
          <w:szCs w:val="36"/>
        </w:rPr>
        <w:t>年度大禹水利科学技术奖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提名</w:t>
      </w:r>
      <w:r>
        <w:rPr>
          <w:rFonts w:ascii="Times New Roman" w:hAnsi="Times New Roman" w:eastAsia="黑体" w:cs="Times New Roman"/>
          <w:sz w:val="36"/>
          <w:szCs w:val="36"/>
        </w:rPr>
        <w:t>项目公示信息</w:t>
      </w:r>
    </w:p>
    <w:p w14:paraId="3574A390">
      <w:pPr>
        <w:spacing w:after="0" w:line="500" w:lineRule="exact"/>
        <w:ind w:left="1600" w:hanging="1500" w:hangingChars="500"/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sz w:val="30"/>
          <w:szCs w:val="30"/>
        </w:rPr>
        <w:t>项目名称：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河湖减污降碳协同治理关键技术</w:t>
      </w:r>
    </w:p>
    <w:p w14:paraId="100B913C">
      <w:pPr>
        <w:spacing w:after="0" w:line="360" w:lineRule="auto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完成单位及排序：</w:t>
      </w:r>
    </w:p>
    <w:p w14:paraId="7C7A7FED">
      <w:pPr>
        <w:spacing w:after="0" w:line="360" w:lineRule="auto"/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1.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长江水资源保护科学研究所</w:t>
      </w:r>
    </w:p>
    <w:p w14:paraId="27E56CE2">
      <w:pPr>
        <w:spacing w:after="0" w:line="360" w:lineRule="auto"/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2.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武汉工程大学</w:t>
      </w:r>
    </w:p>
    <w:p w14:paraId="09009048">
      <w:pPr>
        <w:spacing w:after="0" w:line="360" w:lineRule="auto"/>
        <w:ind w:firstLine="600" w:firstLineChars="200"/>
        <w:rPr>
          <w:rFonts w:hint="eastAsia" w:ascii="Times New Roman" w:hAnsi="Times New Roman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水利部交通运输部国家能源局南京水利科学研究院</w:t>
      </w:r>
    </w:p>
    <w:p w14:paraId="2E8A07DE">
      <w:pPr>
        <w:spacing w:after="0" w:line="360" w:lineRule="auto"/>
        <w:ind w:firstLine="600" w:firstLineChars="200"/>
        <w:rPr>
          <w:rFonts w:hint="eastAsia" w:ascii="Times New Roman" w:hAnsi="Times New Roman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长江勘测规划设计研究有限责任公司</w:t>
      </w:r>
    </w:p>
    <w:p w14:paraId="38EECE2D">
      <w:pPr>
        <w:spacing w:after="0" w:line="360" w:lineRule="auto"/>
        <w:ind w:firstLine="600" w:firstLineChars="200"/>
        <w:rPr>
          <w:rFonts w:hint="eastAsia"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中国地质科学院水文地质环境地质研究所</w:t>
      </w:r>
    </w:p>
    <w:p w14:paraId="1FEEBB14">
      <w:pPr>
        <w:spacing w:after="0" w:line="360" w:lineRule="auto"/>
        <w:ind w:firstLine="600" w:firstLineChars="200"/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河北科技大学</w:t>
      </w:r>
    </w:p>
    <w:p w14:paraId="3B2A1104">
      <w:pPr>
        <w:spacing w:after="0" w:line="360" w:lineRule="auto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主要完成人及排序：</w:t>
      </w:r>
    </w:p>
    <w:p w14:paraId="61FD624A">
      <w:pPr>
        <w:spacing w:after="0" w:line="360" w:lineRule="auto"/>
        <w:rPr>
          <w:rFonts w:ascii="Times New Roman" w:hAnsi="Times New Roman" w:eastAsia="仿宋" w:cs="Times New Roman"/>
          <w:color w:val="FF0000"/>
          <w:sz w:val="30"/>
          <w:szCs w:val="30"/>
        </w:rPr>
      </w:pPr>
      <w:r>
        <w:rPr>
          <w:rFonts w:ascii="Times New Roman" w:hAnsi="Times New Roman" w:eastAsia="仿宋" w:cs="Times New Roman"/>
          <w:color w:val="FF0000"/>
          <w:sz w:val="30"/>
          <w:szCs w:val="30"/>
        </w:rPr>
        <w:t xml:space="preserve">    </w:t>
      </w:r>
      <w:r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徐学军</w:t>
      </w:r>
      <w:r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2</w:t>
      </w: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  波</w:t>
      </w:r>
      <w:r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李思悦</w:t>
      </w:r>
      <w:r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4</w:t>
      </w: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金  秋</w:t>
      </w:r>
      <w:r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5</w:t>
      </w: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张千千 6 周石磊 7 孙凌凯 8 樊  皓 9 王宏俊 10 张  事 11 李志军 12 王俊洲 13 蔡金洲 14 徐椿森 15 陈荣友</w:t>
      </w:r>
    </w:p>
    <w:p w14:paraId="51D9C58B">
      <w:pPr>
        <w:spacing w:after="0" w:line="36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成果创新点：</w:t>
      </w:r>
    </w:p>
    <w:p w14:paraId="70A9018F">
      <w:pPr>
        <w:spacing w:after="0" w:line="360" w:lineRule="auto"/>
        <w:ind w:firstLine="609"/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（1）建立了跨介质协同溯源技术体系，探明了河湖碳氮迁移转化与协同演化规律。创新建立了多维度、高精度、智能化的河湖碳氮污染溯源与演变规律识别技术体系，量化了河湖碳氮宏观响应和协同演化规律。</w:t>
      </w:r>
    </w:p>
    <w:p w14:paraId="38AACDFE">
      <w:pPr>
        <w:spacing w:after="0" w:line="360" w:lineRule="auto"/>
        <w:ind w:firstLine="609"/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（2）阐明了多维级联响应机制，破解了河湖碳氮非线性耦合协同调控机理。从微生物微观机制、流域景观格局等多维度切入，系统解析了碳氮转化的生物地球化学内在过程，构建了景观-水质-碳通量级联响应模型，揭示了多要素联动下河湖碳氮非线性耦合与协同调控机理。      </w:t>
      </w:r>
    </w:p>
    <w:p w14:paraId="2363CED3">
      <w:pPr>
        <w:spacing w:after="0" w:line="360" w:lineRule="auto"/>
        <w:ind w:firstLine="609"/>
        <w:rPr>
          <w:rFonts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3）创建了全链条一体化治理技术体系，实现了河湖减污降碳协同增效。提出了源头精准防控—过程生态修复—系统协同增效全链条一体化协同治理技术体系，构建了河湖“减污降碳”协同治理效果量化评价体系。</w:t>
      </w:r>
    </w:p>
    <w:p w14:paraId="63025E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135AC"/>
    <w:rsid w:val="7BA1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2026-08-27T02:31:00Z</dcterms:created>
  <dc:creator>Anita胖乎乎圆滚滚୨୧</dc:creator>
  <cp:lastModifiedBy>Anita胖乎乎圆滚滚୨୧</cp:lastModifiedBy>
  <dcterms:modified xsi:type="dcterms:W3CDTF">2026-08-27T02:31:42Z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CE9B11C084F04412B83A4D5732DB1947_11</vt:lpwstr>
  </property>
  <property fmtid="{D5CDD505-2E9C-101B-9397-08002B2CF9AE}" pid="4" name="KSOTemplateDocerSaveRecord">
    <vt:lpwstr>eyJoZGlkIjoiYzEyZTRjMGZjMmRiMTM1NDdlNDc5NzNiYTExYWJiNzEiLCJ1c2VySWQiOiI1MTM5NTIyMTcifQ==</vt:lpwstr>
  </property>
</Properties>
</file>