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7A8E1">
      <w:pPr>
        <w:jc w:val="center"/>
        <w:rPr>
          <w:rFonts w:ascii="Times New Roman" w:hAnsi="Times New Roman" w:eastAsia="黑体" w:cs="Times New Roman"/>
          <w:sz w:val="36"/>
          <w:szCs w:val="36"/>
        </w:rPr>
      </w:pPr>
      <w:r>
        <w:rPr>
          <w:rFonts w:ascii="Times New Roman" w:hAnsi="Times New Roman" w:eastAsia="黑体" w:cs="Times New Roman"/>
          <w:sz w:val="36"/>
          <w:szCs w:val="36"/>
        </w:rPr>
        <w:t>202</w:t>
      </w:r>
      <w:r>
        <w:rPr>
          <w:rFonts w:hint="eastAsia" w:ascii="Times New Roman" w:hAnsi="Times New Roman" w:eastAsia="黑体" w:cs="Times New Roman"/>
          <w:sz w:val="36"/>
          <w:szCs w:val="36"/>
          <w:lang w:val="en-US" w:eastAsia="zh-CN"/>
        </w:rPr>
        <w:t>6</w:t>
      </w:r>
      <w:r>
        <w:rPr>
          <w:rFonts w:ascii="Times New Roman" w:hAnsi="Times New Roman" w:eastAsia="黑体" w:cs="Times New Roman"/>
          <w:sz w:val="36"/>
          <w:szCs w:val="36"/>
        </w:rPr>
        <w:t>年度大禹水利科学技术奖</w:t>
      </w:r>
      <w:r>
        <w:rPr>
          <w:rFonts w:hint="eastAsia" w:ascii="Times New Roman" w:hAnsi="Times New Roman" w:eastAsia="黑体" w:cs="Times New Roman"/>
          <w:sz w:val="36"/>
          <w:szCs w:val="36"/>
          <w:lang w:val="en-US" w:eastAsia="zh-CN"/>
        </w:rPr>
        <w:t>提名</w:t>
      </w:r>
      <w:r>
        <w:rPr>
          <w:rFonts w:ascii="Times New Roman" w:hAnsi="Times New Roman" w:eastAsia="黑体" w:cs="Times New Roman"/>
          <w:sz w:val="36"/>
          <w:szCs w:val="36"/>
        </w:rPr>
        <w:t>项目公示信息</w:t>
      </w:r>
    </w:p>
    <w:p w14:paraId="3574A390">
      <w:pPr>
        <w:spacing w:after="0" w:line="500" w:lineRule="exact"/>
        <w:ind w:left="1600" w:hanging="1500" w:hangingChars="500"/>
        <w:rPr>
          <w:rFonts w:ascii="Times New Roman" w:hAnsi="Times New Roman" w:eastAsia="仿宋" w:cs="Times New Roman"/>
          <w:bCs/>
          <w:color w:val="000000" w:themeColor="text1"/>
          <w:sz w:val="30"/>
          <w:szCs w:val="30"/>
          <w14:textFill>
            <w14:solidFill>
              <w14:schemeClr w14:val="tx1"/>
            </w14:solidFill>
          </w14:textFill>
        </w:rPr>
      </w:pPr>
      <w:r>
        <w:rPr>
          <w:rFonts w:ascii="Times New Roman" w:hAnsi="Times New Roman" w:eastAsia="黑体" w:cs="Times New Roman"/>
          <w:sz w:val="30"/>
          <w:szCs w:val="30"/>
        </w:rPr>
        <w:t>项目名称：</w:t>
      </w:r>
      <w:r>
        <w:rPr>
          <w:rFonts w:hint="eastAsia" w:ascii="Times New Roman" w:hAnsi="Times New Roman" w:eastAsia="仿宋_GB2312" w:cs="仿宋_GB2312"/>
          <w:sz w:val="32"/>
          <w:szCs w:val="32"/>
        </w:rPr>
        <w:t>应对突发水生态环境事件的应急诊断与水力调控关键技术及应用</w:t>
      </w:r>
    </w:p>
    <w:p w14:paraId="100B913C">
      <w:pPr>
        <w:spacing w:after="0" w:line="360" w:lineRule="auto"/>
        <w:rPr>
          <w:rFonts w:ascii="Times New Roman" w:hAnsi="Times New Roman" w:eastAsia="仿宋" w:cs="Times New Roman"/>
          <w:sz w:val="30"/>
          <w:szCs w:val="30"/>
        </w:rPr>
      </w:pPr>
      <w:r>
        <w:rPr>
          <w:rFonts w:ascii="Times New Roman" w:hAnsi="Times New Roman" w:eastAsia="黑体" w:cs="Times New Roman"/>
          <w:sz w:val="30"/>
          <w:szCs w:val="30"/>
        </w:rPr>
        <w:t>完成单位及排序：</w:t>
      </w:r>
    </w:p>
    <w:p w14:paraId="7C7A7FED">
      <w:pPr>
        <w:spacing w:after="0" w:line="360" w:lineRule="auto"/>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 xml:space="preserve">    1.</w:t>
      </w:r>
      <w:r>
        <w:rPr>
          <w:rFonts w:ascii="Times New Roman" w:hAnsi="Times New Roman" w:eastAsia="仿宋" w:cs="Times New Roman"/>
          <w:b/>
          <w:bCs/>
          <w:color w:val="000000" w:themeColor="text1"/>
          <w:sz w:val="24"/>
          <w14:textFill>
            <w14:solidFill>
              <w14:schemeClr w14:val="tx1"/>
            </w14:solidFill>
          </w14:textFill>
        </w:rPr>
        <w:t xml:space="preserve"> </w:t>
      </w:r>
      <w:r>
        <w:rPr>
          <w:rFonts w:hint="eastAsia" w:ascii="Times New Roman" w:hAnsi="Times New Roman" w:eastAsia="仿宋_GB2312" w:cs="仿宋_GB2312"/>
          <w:kern w:val="0"/>
          <w:sz w:val="32"/>
          <w:szCs w:val="32"/>
        </w:rPr>
        <w:t>长江水资源保护科学研究所</w:t>
      </w:r>
    </w:p>
    <w:p w14:paraId="27E56CE2">
      <w:pPr>
        <w:spacing w:after="0" w:line="360" w:lineRule="auto"/>
        <w:rPr>
          <w:rFonts w:hint="eastAsia" w:ascii="Times New Roman" w:hAnsi="Times New Roman" w:eastAsia="仿宋_GB2312" w:cs="仿宋_GB2312"/>
          <w:kern w:val="0"/>
          <w:sz w:val="32"/>
          <w:szCs w:val="32"/>
        </w:rPr>
      </w:pPr>
      <w:r>
        <w:rPr>
          <w:rFonts w:ascii="Times New Roman" w:hAnsi="Times New Roman" w:eastAsia="仿宋" w:cs="Times New Roman"/>
          <w:color w:val="000000" w:themeColor="text1"/>
          <w:sz w:val="30"/>
          <w:szCs w:val="30"/>
          <w14:textFill>
            <w14:solidFill>
              <w14:schemeClr w14:val="tx1"/>
            </w14:solidFill>
          </w14:textFill>
        </w:rPr>
        <w:t xml:space="preserve">    2.</w:t>
      </w:r>
      <w:r>
        <w:rPr>
          <w:rFonts w:ascii="Times New Roman" w:hAnsi="Times New Roman" w:eastAsia="仿宋" w:cs="Times New Roman"/>
          <w:b/>
          <w:bCs/>
          <w:color w:val="000000" w:themeColor="text1"/>
          <w:sz w:val="24"/>
          <w14:textFill>
            <w14:solidFill>
              <w14:schemeClr w14:val="tx1"/>
            </w14:solidFill>
          </w14:textFill>
        </w:rPr>
        <w:t xml:space="preserve"> </w:t>
      </w:r>
      <w:r>
        <w:rPr>
          <w:rFonts w:hint="eastAsia" w:ascii="Times New Roman" w:hAnsi="Times New Roman" w:eastAsia="仿宋_GB2312" w:cs="仿宋_GB2312"/>
          <w:kern w:val="0"/>
          <w:sz w:val="32"/>
          <w:szCs w:val="32"/>
        </w:rPr>
        <w:t>武汉大学</w:t>
      </w:r>
    </w:p>
    <w:p w14:paraId="09009048">
      <w:pPr>
        <w:spacing w:after="0" w:line="360" w:lineRule="auto"/>
        <w:ind w:firstLine="600" w:firstLineChars="200"/>
        <w:rPr>
          <w:rFonts w:hint="eastAsia" w:ascii="Times New Roman" w:hAnsi="Times New Roman" w:eastAsia="仿宋_GB2312" w:cs="仿宋_GB2312"/>
          <w:kern w:val="0"/>
          <w:sz w:val="32"/>
          <w:szCs w:val="32"/>
        </w:rPr>
      </w:pPr>
      <w:r>
        <w:rPr>
          <w:rFonts w:ascii="Times New Roman" w:hAnsi="Times New Roman" w:eastAsia="仿宋" w:cs="Times New Roman"/>
          <w:color w:val="000000" w:themeColor="text1"/>
          <w:sz w:val="30"/>
          <w:szCs w:val="30"/>
          <w14:textFill>
            <w14:solidFill>
              <w14:schemeClr w14:val="tx1"/>
            </w14:solidFill>
          </w14:textFill>
        </w:rPr>
        <w:t xml:space="preserve">3. </w:t>
      </w:r>
      <w:r>
        <w:rPr>
          <w:rFonts w:hint="eastAsia" w:ascii="Times New Roman" w:hAnsi="Times New Roman" w:eastAsia="仿宋_GB2312" w:cs="仿宋_GB2312"/>
          <w:kern w:val="0"/>
          <w:sz w:val="32"/>
          <w:szCs w:val="32"/>
          <w:lang w:val="en-US" w:eastAsia="zh-CN"/>
        </w:rPr>
        <w:t>中国长江三峡集团有限公司</w:t>
      </w:r>
    </w:p>
    <w:p w14:paraId="2E8A07DE">
      <w:pPr>
        <w:spacing w:after="0" w:line="360" w:lineRule="auto"/>
        <w:ind w:firstLine="600" w:firstLineChars="200"/>
        <w:rPr>
          <w:rFonts w:hint="eastAsia" w:ascii="Times New Roman" w:hAnsi="Times New Roman" w:eastAsia="仿宋_GB2312" w:cs="仿宋_GB2312"/>
          <w:kern w:val="0"/>
          <w:sz w:val="32"/>
          <w:szCs w:val="32"/>
        </w:rPr>
      </w:pPr>
      <w:r>
        <w:rPr>
          <w:rFonts w:ascii="Times New Roman" w:hAnsi="Times New Roman" w:eastAsia="仿宋" w:cs="Times New Roman"/>
          <w:bCs/>
          <w:color w:val="000000" w:themeColor="text1"/>
          <w:sz w:val="30"/>
          <w:szCs w:val="30"/>
          <w14:textFill>
            <w14:solidFill>
              <w14:schemeClr w14:val="tx1"/>
            </w14:solidFill>
          </w14:textFill>
        </w:rPr>
        <w:t xml:space="preserve">4. </w:t>
      </w:r>
      <w:r>
        <w:rPr>
          <w:rFonts w:hint="eastAsia" w:ascii="Times New Roman" w:hAnsi="Times New Roman" w:eastAsia="仿宋_GB2312" w:cs="仿宋_GB2312"/>
          <w:kern w:val="0"/>
          <w:sz w:val="32"/>
          <w:szCs w:val="32"/>
          <w:lang w:val="en-US" w:eastAsia="zh-CN"/>
        </w:rPr>
        <w:t>中国水利水电科学研究院</w:t>
      </w:r>
    </w:p>
    <w:p w14:paraId="38EECE2D">
      <w:pPr>
        <w:spacing w:after="0" w:line="360" w:lineRule="auto"/>
        <w:ind w:firstLine="600" w:firstLineChars="200"/>
        <w:rPr>
          <w:rFonts w:hint="eastAsia" w:ascii="Times New Roman" w:hAnsi="Times New Roman" w:eastAsia="仿宋_GB2312" w:cs="仿宋_GB2312"/>
          <w:kern w:val="0"/>
          <w:sz w:val="32"/>
          <w:szCs w:val="32"/>
        </w:rPr>
      </w:pPr>
      <w:r>
        <w:rPr>
          <w:rFonts w:hint="eastAsia" w:ascii="Times New Roman" w:hAnsi="Times New Roman" w:eastAsia="仿宋" w:cs="Times New Roman"/>
          <w:bCs/>
          <w:color w:val="000000" w:themeColor="text1"/>
          <w:sz w:val="30"/>
          <w:szCs w:val="30"/>
          <w:lang w:val="en-US" w:eastAsia="zh-CN"/>
          <w14:textFill>
            <w14:solidFill>
              <w14:schemeClr w14:val="tx1"/>
            </w14:solidFill>
          </w14:textFill>
        </w:rPr>
        <w:t>5</w:t>
      </w:r>
      <w:r>
        <w:rPr>
          <w:rFonts w:ascii="Times New Roman" w:hAnsi="Times New Roman" w:eastAsia="仿宋" w:cs="Times New Roman"/>
          <w:bCs/>
          <w:color w:val="000000" w:themeColor="text1"/>
          <w:sz w:val="30"/>
          <w:szCs w:val="30"/>
          <w14:textFill>
            <w14:solidFill>
              <w14:schemeClr w14:val="tx1"/>
            </w14:solidFill>
          </w14:textFill>
        </w:rPr>
        <w:t xml:space="preserve">. </w:t>
      </w:r>
      <w:r>
        <w:rPr>
          <w:rFonts w:hint="eastAsia" w:ascii="Times New Roman" w:hAnsi="Times New Roman" w:eastAsia="仿宋_GB2312" w:cs="仿宋_GB2312"/>
          <w:kern w:val="0"/>
          <w:sz w:val="32"/>
          <w:szCs w:val="32"/>
          <w:lang w:val="en-US" w:eastAsia="zh-CN"/>
        </w:rPr>
        <w:t>湖北汉江王甫洲水力发电有限责任公司</w:t>
      </w:r>
    </w:p>
    <w:p w14:paraId="1FEEBB14">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lang w:val="en-US" w:eastAsia="zh-CN"/>
          <w14:textFill>
            <w14:solidFill>
              <w14:schemeClr w14:val="tx1"/>
            </w14:solidFill>
          </w14:textFill>
        </w:rPr>
        <w:t>6</w:t>
      </w:r>
      <w:r>
        <w:rPr>
          <w:rFonts w:ascii="Times New Roman" w:hAnsi="Times New Roman" w:eastAsia="仿宋" w:cs="Times New Roman"/>
          <w:bCs/>
          <w:color w:val="000000" w:themeColor="text1"/>
          <w:sz w:val="30"/>
          <w:szCs w:val="30"/>
          <w14:textFill>
            <w14:solidFill>
              <w14:schemeClr w14:val="tx1"/>
            </w14:solidFill>
          </w14:textFill>
        </w:rPr>
        <w:t xml:space="preserve">. </w:t>
      </w:r>
      <w:r>
        <w:rPr>
          <w:rFonts w:hint="eastAsia" w:ascii="Times New Roman" w:hAnsi="Times New Roman" w:eastAsia="仿宋_GB2312" w:cs="仿宋_GB2312"/>
          <w:kern w:val="0"/>
          <w:sz w:val="32"/>
          <w:szCs w:val="32"/>
          <w:lang w:val="en-US" w:eastAsia="zh-CN"/>
        </w:rPr>
        <w:t>长江水利委员会汉江流域治理保护中心</w:t>
      </w:r>
    </w:p>
    <w:p w14:paraId="3B2A1104">
      <w:pPr>
        <w:spacing w:after="0" w:line="360" w:lineRule="auto"/>
        <w:rPr>
          <w:rFonts w:ascii="Times New Roman" w:hAnsi="Times New Roman" w:eastAsia="仿宋" w:cs="Times New Roman"/>
          <w:sz w:val="30"/>
          <w:szCs w:val="30"/>
        </w:rPr>
      </w:pPr>
      <w:r>
        <w:rPr>
          <w:rFonts w:ascii="Times New Roman" w:hAnsi="Times New Roman" w:eastAsia="黑体" w:cs="Times New Roman"/>
          <w:sz w:val="30"/>
          <w:szCs w:val="30"/>
        </w:rPr>
        <w:t>主要完成人及排序：</w:t>
      </w:r>
    </w:p>
    <w:p w14:paraId="61FD624A">
      <w:pPr>
        <w:spacing w:after="0" w:line="360" w:lineRule="auto"/>
        <w:rPr>
          <w:rFonts w:ascii="Times New Roman" w:hAnsi="Times New Roman" w:eastAsia="仿宋" w:cs="Times New Roman"/>
          <w:color w:val="FF0000"/>
          <w:sz w:val="30"/>
          <w:szCs w:val="30"/>
        </w:rPr>
      </w:pPr>
      <w:r>
        <w:rPr>
          <w:rFonts w:ascii="Times New Roman" w:hAnsi="Times New Roman" w:eastAsia="仿宋" w:cs="Times New Roman"/>
          <w:color w:val="FF0000"/>
          <w:sz w:val="30"/>
          <w:szCs w:val="30"/>
        </w:rPr>
        <w:t xml:space="preserve">   </w:t>
      </w:r>
      <w:r>
        <w:rPr>
          <w:rFonts w:hint="eastAsia" w:ascii="Times New Roman" w:hAnsi="Times New Roman" w:eastAsia="仿宋" w:cs="Times New Roman"/>
          <w:color w:val="auto"/>
          <w:sz w:val="30"/>
          <w:szCs w:val="30"/>
          <w:lang w:val="en-US" w:eastAsia="zh-CN"/>
        </w:rPr>
        <w:t>1</w:t>
      </w:r>
      <w:r>
        <w:rPr>
          <w:rFonts w:hint="eastAsia" w:ascii="Times New Roman" w:hAnsi="Times New Roman" w:eastAsia="仿宋_GB2312" w:cs="仿宋_GB2312"/>
          <w:kern w:val="0"/>
          <w:sz w:val="32"/>
          <w:szCs w:val="32"/>
          <w:lang w:val="en-US" w:eastAsia="zh-CN"/>
        </w:rPr>
        <w:t>辛小康、2杨中华、3尹 炜、4林俊强、5白凤朋、6颜 剑、7李 建、8郑玉民、9柳梦阳、10查悉妮、11徐建锋、12赵肥西、13陈 浩、14林 枭、15卢 路</w:t>
      </w:r>
    </w:p>
    <w:p w14:paraId="51D9C58B">
      <w:pPr>
        <w:spacing w:after="0" w:line="360" w:lineRule="auto"/>
        <w:rPr>
          <w:rFonts w:ascii="Times New Roman" w:hAnsi="Times New Roman" w:eastAsia="黑体" w:cs="Times New Roman"/>
          <w:sz w:val="30"/>
          <w:szCs w:val="30"/>
        </w:rPr>
      </w:pPr>
      <w:r>
        <w:rPr>
          <w:rFonts w:ascii="Times New Roman" w:hAnsi="Times New Roman" w:eastAsia="黑体" w:cs="Times New Roman"/>
          <w:sz w:val="30"/>
          <w:szCs w:val="30"/>
        </w:rPr>
        <w:t>成果创新点：</w:t>
      </w:r>
    </w:p>
    <w:p w14:paraId="70A9018F">
      <w:pPr>
        <w:spacing w:after="0" w:line="360" w:lineRule="auto"/>
        <w:ind w:firstLine="609"/>
        <w:rPr>
          <w:rFonts w:hint="eastAsia" w:ascii="Times New Roman" w:hAnsi="Times New Roman" w:eastAsia="仿宋" w:cs="Times New Roman"/>
          <w:bCs/>
          <w:color w:val="000000" w:themeColor="text1"/>
          <w:sz w:val="30"/>
          <w:szCs w:val="30"/>
          <w:lang w:val="en-US" w:eastAsia="zh-CN"/>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（1）构建</w:t>
      </w:r>
      <w:r>
        <w:rPr>
          <w:rFonts w:hint="eastAsia" w:ascii="Times New Roman" w:hAnsi="Times New Roman" w:eastAsia="仿宋" w:cs="Times New Roman"/>
          <w:bCs/>
          <w:color w:val="000000" w:themeColor="text1"/>
          <w:sz w:val="30"/>
          <w:szCs w:val="30"/>
          <w:lang w:eastAsia="zh-CN"/>
          <w14:textFill>
            <w14:solidFill>
              <w14:schemeClr w14:val="tx1"/>
            </w14:solidFill>
          </w14:textFill>
        </w:rPr>
        <w:t>了</w:t>
      </w:r>
      <w:r>
        <w:rPr>
          <w:rFonts w:hint="eastAsia" w:ascii="Times New Roman" w:hAnsi="Times New Roman" w:eastAsia="仿宋" w:cs="Times New Roman"/>
          <w:bCs/>
          <w:color w:val="000000" w:themeColor="text1"/>
          <w:sz w:val="30"/>
          <w:szCs w:val="30"/>
          <w14:textFill>
            <w14:solidFill>
              <w14:schemeClr w14:val="tx1"/>
            </w14:solidFill>
          </w14:textFill>
        </w:rPr>
        <w:t>河库水华生消水动力阈值定量辨识与生境差异化精准调控技术。提出河流型水华临界流速和水库型水华临界水位变幅阈值确定方法，研发“机理—数据”双驱动水华演变预测模型，提出上游水库加大泄量和本级水库水位波动的水工程联合调控技术，解决了“多源协同诊断—机理与数据融合预测—临界阈值差异化调控”技术难题</w:t>
      </w:r>
      <w:r>
        <w:rPr>
          <w:rFonts w:hint="eastAsia" w:ascii="Times New Roman" w:hAnsi="Times New Roman" w:eastAsia="仿宋" w:cs="Times New Roman"/>
          <w:bCs/>
          <w:color w:val="000000" w:themeColor="text1"/>
          <w:sz w:val="30"/>
          <w:szCs w:val="30"/>
          <w:lang w:eastAsia="zh-CN"/>
          <w14:textFill>
            <w14:solidFill>
              <w14:schemeClr w14:val="tx1"/>
            </w14:solidFill>
          </w14:textFill>
        </w:rPr>
        <w:t>。</w:t>
      </w:r>
    </w:p>
    <w:p w14:paraId="38AACDFE">
      <w:pPr>
        <w:spacing w:after="0" w:line="360" w:lineRule="auto"/>
        <w:ind w:firstLine="609"/>
        <w:rPr>
          <w:rFonts w:hint="eastAsia"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（2）提出</w:t>
      </w:r>
      <w:r>
        <w:rPr>
          <w:rFonts w:hint="eastAsia" w:ascii="Times New Roman" w:hAnsi="Times New Roman" w:eastAsia="仿宋" w:cs="Times New Roman"/>
          <w:bCs/>
          <w:color w:val="000000" w:themeColor="text1"/>
          <w:sz w:val="30"/>
          <w:szCs w:val="30"/>
          <w:lang w:eastAsia="zh-CN"/>
          <w14:textFill>
            <w14:solidFill>
              <w14:schemeClr w14:val="tx1"/>
            </w14:solidFill>
          </w14:textFill>
        </w:rPr>
        <w:t>了</w:t>
      </w:r>
      <w:r>
        <w:rPr>
          <w:rFonts w:hint="eastAsia" w:ascii="Times New Roman" w:hAnsi="Times New Roman" w:eastAsia="仿宋" w:cs="Times New Roman"/>
          <w:bCs/>
          <w:color w:val="000000" w:themeColor="text1"/>
          <w:sz w:val="30"/>
          <w:szCs w:val="30"/>
          <w14:textFill>
            <w14:solidFill>
              <w14:schemeClr w14:val="tx1"/>
            </w14:solidFill>
          </w14:textFill>
        </w:rPr>
        <w:t xml:space="preserve">控制外来沉水植物过度生长的高频遥感监测与水力生境因子调控技术。揭示外来沉水植物对水动力、水温等生境因子的响应机制，提出融合高频遥感数据和基于向量机分类算法的沉水植物快速识别诊断方法，研发基于春季流量极值比和夏秋季临界流速的水力生境因子调控技术，攻克了外来沉水植物过度生长“快速识别-提前预警-精准处置”的全流程灾害防控难题。      </w:t>
      </w:r>
    </w:p>
    <w:p w14:paraId="2363CED3">
      <w:pPr>
        <w:spacing w:after="0" w:line="360" w:lineRule="auto"/>
        <w:ind w:firstLine="609"/>
        <w:rPr>
          <w:rFonts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（3）研发</w:t>
      </w:r>
      <w:r>
        <w:rPr>
          <w:rFonts w:hint="eastAsia" w:ascii="Times New Roman" w:hAnsi="Times New Roman" w:eastAsia="仿宋" w:cs="Times New Roman"/>
          <w:bCs/>
          <w:color w:val="000000" w:themeColor="text1"/>
          <w:sz w:val="30"/>
          <w:szCs w:val="30"/>
          <w:lang w:eastAsia="zh-CN"/>
          <w14:textFill>
            <w14:solidFill>
              <w14:schemeClr w14:val="tx1"/>
            </w14:solidFill>
          </w14:textFill>
        </w:rPr>
        <w:t>了</w:t>
      </w:r>
      <w:r>
        <w:rPr>
          <w:rFonts w:hint="eastAsia" w:ascii="Times New Roman" w:hAnsi="Times New Roman" w:eastAsia="仿宋" w:cs="Times New Roman"/>
          <w:bCs/>
          <w:color w:val="000000" w:themeColor="text1"/>
          <w:sz w:val="30"/>
          <w:szCs w:val="30"/>
          <w14:textFill>
            <w14:solidFill>
              <w14:schemeClr w14:val="tx1"/>
            </w14:solidFill>
          </w14:textFill>
        </w:rPr>
        <w:t>应对突发水污染事件的正向预测-反向溯源-水力调控全流程响应关键技术。构建河库系统不同类型污染物输移扩散模拟方法体系，建立基于伴随同化算法的正向模拟—反向溯源定位技术，提出了突发水污染事件危害最小化的水力调控预案，破解</w:t>
      </w:r>
      <w:r>
        <w:rPr>
          <w:rFonts w:hint="eastAsia" w:ascii="Times New Roman" w:hAnsi="Times New Roman" w:eastAsia="仿宋" w:cs="Times New Roman"/>
          <w:bCs/>
          <w:color w:val="000000" w:themeColor="text1"/>
          <w:sz w:val="30"/>
          <w:szCs w:val="30"/>
          <w:lang w:eastAsia="zh-CN"/>
          <w14:textFill>
            <w14:solidFill>
              <w14:schemeClr w14:val="tx1"/>
            </w14:solidFill>
          </w14:textFill>
        </w:rPr>
        <w:t>了</w:t>
      </w:r>
      <w:r>
        <w:rPr>
          <w:rFonts w:hint="eastAsia" w:ascii="Times New Roman" w:hAnsi="Times New Roman" w:eastAsia="仿宋" w:cs="Times New Roman"/>
          <w:bCs/>
          <w:color w:val="000000" w:themeColor="text1"/>
          <w:sz w:val="30"/>
          <w:szCs w:val="30"/>
          <w14:textFill>
            <w14:solidFill>
              <w14:schemeClr w14:val="tx1"/>
            </w14:solidFill>
          </w14:textFill>
        </w:rPr>
        <w:t>突发水污染事故难预测、难溯源、难处置等现场应急技术瓶颈。</w:t>
      </w:r>
    </w:p>
    <w:p w14:paraId="2B8567B4">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3816E5"/>
    <w:rsid w:val="56381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2026-08-27T08:49:00Z</dcterms:created>
  <dc:creator>Anita胖乎乎圆滚滚୨୧</dc:creator>
  <cp:lastModifiedBy>Anita胖乎乎圆滚滚୨୧</cp:lastModifiedBy>
  <dcterms:modified xsi:type="dcterms:W3CDTF">2026-08-27T08:49:55Z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73BD506D193D4054AB1FE1B86F74A853_11</vt:lpwstr>
  </property>
  <property fmtid="{D5CDD505-2E9C-101B-9397-08002B2CF9AE}" pid="4" name="KSOTemplateDocerSaveRecord">
    <vt:lpwstr>eyJoZGlkIjoiYzEyZTRjMGZjMmRiMTM1NDdlNDc5NzNiYTExYWJiNzEiLCJ1c2VySWQiOiI1MTM5NTIyMTcifQ==</vt:lpwstr>
  </property>
</Properties>
</file>